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0524" w14:textId="72FD7E6A" w:rsidR="00DD73AC" w:rsidRDefault="00DD73AC" w:rsidP="00DD73AC">
      <w:pPr>
        <w:pStyle w:val="Ttulo3"/>
        <w:ind w:right="423"/>
        <w:jc w:val="both"/>
      </w:pPr>
      <w:r>
        <w:t xml:space="preserve">Draft </w:t>
      </w:r>
      <w:r w:rsidR="006D571A" w:rsidRPr="006D571A">
        <w:t>Executive Order</w:t>
      </w:r>
      <w:r>
        <w:t xml:space="preserve"> for the creation of a Working Group for Health in the Legal Amazon.</w:t>
      </w:r>
    </w:p>
    <w:p w14:paraId="63BFB203" w14:textId="77777777" w:rsidR="00D818AD" w:rsidRPr="00DD73AC" w:rsidRDefault="00D818AD" w:rsidP="009D7526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3BFB204" w14:textId="4EF8EAC1" w:rsidR="009D7526" w:rsidRPr="00DD73AC" w:rsidRDefault="006D571A" w:rsidP="00DD73A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GoBack"/>
      <w:r w:rsidRPr="006D571A">
        <w:rPr>
          <w:rFonts w:ascii="Arial" w:hAnsi="Arial" w:cs="Arial"/>
          <w:b/>
          <w:bCs/>
          <w:caps/>
          <w:sz w:val="22"/>
          <w:szCs w:val="22"/>
          <w:lang w:val="en-US"/>
        </w:rPr>
        <w:t>Executive Order</w:t>
      </w:r>
      <w:r w:rsidR="00DD73AC" w:rsidRPr="00DD73A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bookmarkEnd w:id="0"/>
      <w:r w:rsidR="00DD73AC" w:rsidRPr="00DD73AC">
        <w:rPr>
          <w:rFonts w:ascii="Arial" w:hAnsi="Arial" w:cs="Arial"/>
          <w:b/>
          <w:bCs/>
          <w:sz w:val="22"/>
          <w:szCs w:val="22"/>
          <w:lang w:val="en-US"/>
        </w:rPr>
        <w:t>NO.</w:t>
      </w:r>
      <w:r w:rsidR="00DD73AC" w:rsidRPr="00DD73AC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DD73AC" w:rsidRPr="00DD73AC">
        <w:rPr>
          <w:rFonts w:ascii="Arial" w:hAnsi="Arial" w:cs="Arial"/>
          <w:b/>
          <w:bCs/>
          <w:sz w:val="22"/>
          <w:szCs w:val="22"/>
          <w:u w:val="single"/>
          <w:lang w:val="en-US"/>
        </w:rPr>
        <w:tab/>
      </w:r>
      <w:r w:rsidR="00DD73AC" w:rsidRPr="00DD73AC">
        <w:rPr>
          <w:rFonts w:ascii="Arial" w:hAnsi="Arial" w:cs="Arial"/>
          <w:b/>
          <w:bCs/>
          <w:sz w:val="22"/>
          <w:szCs w:val="22"/>
          <w:lang w:val="en-US"/>
        </w:rPr>
        <w:t>, OF</w:t>
      </w:r>
      <w:r w:rsidR="00DD73AC" w:rsidRPr="00DD73AC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DD73AC" w:rsidRPr="00DD73AC">
        <w:rPr>
          <w:rFonts w:ascii="Arial" w:hAnsi="Arial" w:cs="Arial"/>
          <w:b/>
          <w:bCs/>
          <w:sz w:val="22"/>
          <w:szCs w:val="22"/>
          <w:u w:val="single"/>
          <w:lang w:val="en-US"/>
        </w:rPr>
        <w:tab/>
      </w:r>
      <w:r w:rsidR="00DD73AC" w:rsidRPr="00DD73AC">
        <w:rPr>
          <w:rFonts w:ascii="Arial" w:hAnsi="Arial" w:cs="Arial"/>
          <w:b/>
          <w:bCs/>
          <w:sz w:val="22"/>
          <w:szCs w:val="22"/>
          <w:lang w:val="en-US"/>
        </w:rPr>
        <w:t>JANUARY 2023.</w:t>
      </w:r>
    </w:p>
    <w:p w14:paraId="63BFB205" w14:textId="77777777" w:rsidR="009D7526" w:rsidRPr="00A75287" w:rsidRDefault="009D7526" w:rsidP="009D752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3BFB206" w14:textId="523C3C66" w:rsidR="009D7526" w:rsidRPr="00DD73AC" w:rsidRDefault="00DD73AC" w:rsidP="00880340">
      <w:pPr>
        <w:ind w:left="3969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Creates the Working Group for Health in the Legal Amazon - </w:t>
      </w:r>
      <w:proofErr w:type="spellStart"/>
      <w:r w:rsidRPr="00DD73AC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A77A33" w:rsidRPr="00DD73AC">
        <w:rPr>
          <w:rFonts w:ascii="Arial" w:hAnsi="Arial" w:cs="Arial"/>
          <w:sz w:val="22"/>
          <w:szCs w:val="22"/>
          <w:lang w:val="en-US"/>
        </w:rPr>
        <w:t>.</w:t>
      </w:r>
    </w:p>
    <w:p w14:paraId="63BFB207" w14:textId="3A01C96C" w:rsidR="009D7526" w:rsidRPr="00DD73AC" w:rsidRDefault="00DD73AC" w:rsidP="009D7526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DD73A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THE PRESIDENT OF THE REPUBLIC, </w:t>
      </w:r>
      <w:r w:rsidRPr="00DD73AC">
        <w:rPr>
          <w:rFonts w:ascii="Arial" w:hAnsi="Arial" w:cs="Arial"/>
          <w:color w:val="000000"/>
          <w:sz w:val="22"/>
          <w:szCs w:val="22"/>
          <w:lang w:val="en-US"/>
        </w:rPr>
        <w:t>in the use of the attributions granted to him by art. 84, items IV and VI, line "a", of the Constitution,</w:t>
      </w:r>
      <w:r w:rsidR="009D7526" w:rsidRPr="00DD73A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63BFB208" w14:textId="1A570526" w:rsidR="009D7526" w:rsidRPr="00DD73AC" w:rsidRDefault="009D7526" w:rsidP="009D7526">
      <w:pPr>
        <w:pStyle w:val="NormalWeb"/>
        <w:rPr>
          <w:rFonts w:ascii="Arial" w:hAnsi="Arial" w:cs="Arial"/>
          <w:color w:val="000000"/>
          <w:sz w:val="22"/>
          <w:szCs w:val="22"/>
          <w:lang w:val="en-US"/>
        </w:rPr>
      </w:pPr>
      <w:r w:rsidRPr="00DD73A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        </w:t>
      </w:r>
      <w:r w:rsidR="00DD73AC" w:rsidRPr="00DD73A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DECREES</w:t>
      </w:r>
      <w:r w:rsidRPr="00DD73A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:</w:t>
      </w:r>
    </w:p>
    <w:p w14:paraId="63BFB209" w14:textId="143CE93D" w:rsidR="00E1753A" w:rsidRPr="00DD73AC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Art. 1°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The Working Group for Health in the Legal Amazon (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>) is hereby instituted, with the objective of evaluating and proposing measures for the improvement of public health policies in the Legal Amazon</w:t>
      </w:r>
      <w:r w:rsidR="00E1753A" w:rsidRPr="00DD73AC">
        <w:rPr>
          <w:rFonts w:ascii="Arial" w:hAnsi="Arial" w:cs="Arial"/>
          <w:sz w:val="22"/>
          <w:szCs w:val="22"/>
          <w:lang w:val="en-US"/>
        </w:rPr>
        <w:t>.</w:t>
      </w:r>
    </w:p>
    <w:p w14:paraId="63BFB20A" w14:textId="3F3922D8" w:rsidR="00504D9B" w:rsidRPr="00DD73AC" w:rsidRDefault="00D564EA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Art. </w:t>
      </w:r>
      <w:r w:rsidR="006C6F38" w:rsidRPr="00DD73AC">
        <w:rPr>
          <w:rFonts w:ascii="Arial" w:hAnsi="Arial" w:cs="Arial"/>
          <w:sz w:val="22"/>
          <w:szCs w:val="22"/>
          <w:lang w:val="en-US"/>
        </w:rPr>
        <w:t>2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° 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has as its main objective to evaluate and propose measures to improve the coverage and execution of public health policies in the Legal Amazon region, and has as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its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main work guidelines</w:t>
      </w:r>
      <w:r w:rsidR="00504D9B" w:rsidRPr="00DD73AC">
        <w:rPr>
          <w:rFonts w:ascii="Arial" w:hAnsi="Arial" w:cs="Arial"/>
          <w:sz w:val="22"/>
          <w:szCs w:val="22"/>
          <w:lang w:val="en-US"/>
        </w:rPr>
        <w:t>:</w:t>
      </w:r>
    </w:p>
    <w:p w14:paraId="63BFB20B" w14:textId="60E5EC42" w:rsidR="00177767" w:rsidRPr="00DD73AC" w:rsidRDefault="00504D9B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 -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the adaptation of public health policies to the specificities of the Legal Amazon territory, especially considering the conditions of access, displacement, and connection</w:t>
      </w:r>
      <w:r w:rsidR="00177767"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0C" w14:textId="78D5300C" w:rsidR="00BC60C0" w:rsidRPr="00DD73AC" w:rsidRDefault="00177767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II </w:t>
      </w:r>
      <w:r w:rsidR="00AE192B" w:rsidRPr="00DD73AC">
        <w:rPr>
          <w:rFonts w:ascii="Arial" w:hAnsi="Arial" w:cs="Arial"/>
          <w:sz w:val="22"/>
          <w:szCs w:val="22"/>
          <w:lang w:val="en-US"/>
        </w:rPr>
        <w:t>-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the adaptation of health policies to the specificities of the population in the Legal Amazon region, </w:t>
      </w:r>
      <w:r w:rsidR="00DD73AC">
        <w:rPr>
          <w:rFonts w:ascii="Arial" w:hAnsi="Arial" w:cs="Arial"/>
          <w:sz w:val="22"/>
          <w:szCs w:val="22"/>
          <w:lang w:val="en-US"/>
        </w:rPr>
        <w:t>particularly due to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the coexistence of population groups in diverse territorial environments and of traditional peoples and communities</w:t>
      </w:r>
      <w:r w:rsidR="00AF3489"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0D" w14:textId="73B8854D" w:rsidR="006151E1" w:rsidRPr="00DD73AC" w:rsidRDefault="006151E1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>I</w:t>
      </w:r>
      <w:r w:rsidR="00B46CF6" w:rsidRPr="00DD73AC">
        <w:rPr>
          <w:rFonts w:ascii="Arial" w:hAnsi="Arial" w:cs="Arial"/>
          <w:sz w:val="22"/>
          <w:szCs w:val="22"/>
          <w:lang w:val="en-US"/>
        </w:rPr>
        <w:t>II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- 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the promotion of 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interfederative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cooperation; and</w:t>
      </w:r>
    </w:p>
    <w:p w14:paraId="63BFB20E" w14:textId="6B122D1F" w:rsidR="00504D9B" w:rsidRPr="00DD73AC" w:rsidRDefault="000D04C8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>I</w:t>
      </w:r>
      <w:r w:rsidR="00E22328" w:rsidRPr="00DD73AC">
        <w:rPr>
          <w:rFonts w:ascii="Arial" w:hAnsi="Arial" w:cs="Arial"/>
          <w:sz w:val="22"/>
          <w:szCs w:val="22"/>
          <w:lang w:val="en-US"/>
        </w:rPr>
        <w:t xml:space="preserve">V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–</w:t>
      </w:r>
      <w:r w:rsidR="00E22328"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>
        <w:rPr>
          <w:rFonts w:ascii="Arial" w:hAnsi="Arial" w:cs="Arial"/>
          <w:sz w:val="22"/>
          <w:szCs w:val="22"/>
          <w:lang w:val="en-US"/>
        </w:rPr>
        <w:t>the improvement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of health data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quality for the region and its integration with national databases</w:t>
      </w:r>
      <w:r w:rsidR="00094B37" w:rsidRPr="00DD73AC">
        <w:rPr>
          <w:rFonts w:ascii="Arial" w:hAnsi="Arial" w:cs="Arial"/>
          <w:sz w:val="22"/>
          <w:szCs w:val="22"/>
          <w:lang w:val="en-US"/>
        </w:rPr>
        <w:t>.</w:t>
      </w:r>
    </w:p>
    <w:p w14:paraId="63BFB20F" w14:textId="25DC2D84" w:rsidR="00D564EA" w:rsidRPr="00DD73AC" w:rsidRDefault="00094B37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Art. 3° 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will prioritize the diagnosis and the proposition of specific measures related to the following themes</w:t>
      </w:r>
      <w:r w:rsidR="00D564EA" w:rsidRPr="00DD73AC">
        <w:rPr>
          <w:rFonts w:ascii="Arial" w:hAnsi="Arial" w:cs="Arial"/>
          <w:sz w:val="22"/>
          <w:szCs w:val="22"/>
          <w:lang w:val="en-US"/>
        </w:rPr>
        <w:t>:</w:t>
      </w:r>
    </w:p>
    <w:p w14:paraId="63BFB210" w14:textId="34D14314" w:rsidR="00D564EA" w:rsidRPr="00DD73AC" w:rsidRDefault="00D564EA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 </w:t>
      </w:r>
      <w:r w:rsidR="00DD73AC">
        <w:rPr>
          <w:rFonts w:ascii="Arial" w:hAnsi="Arial" w:cs="Arial"/>
          <w:sz w:val="22"/>
          <w:szCs w:val="22"/>
          <w:lang w:val="en-US"/>
        </w:rPr>
        <w:t>–</w:t>
      </w:r>
      <w:r w:rsidR="00983496"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use of and access to telehealth and telemedicine</w:t>
      </w:r>
      <w:r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1" w14:textId="4B567044" w:rsidR="00212172" w:rsidRPr="00DD73AC" w:rsidRDefault="00D564EA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II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–</w:t>
      </w:r>
      <w:r w:rsidR="00983496"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forms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of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>
        <w:rPr>
          <w:rFonts w:ascii="Arial" w:hAnsi="Arial" w:cs="Arial"/>
          <w:sz w:val="22"/>
          <w:szCs w:val="22"/>
          <w:lang w:val="en-US"/>
        </w:rPr>
        <w:t>ensuring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access, logis</w:t>
      </w:r>
      <w:r w:rsidR="00DD73AC">
        <w:rPr>
          <w:rFonts w:ascii="Arial" w:hAnsi="Arial" w:cs="Arial"/>
          <w:sz w:val="22"/>
          <w:szCs w:val="22"/>
          <w:lang w:val="en-US"/>
        </w:rPr>
        <w:t>t</w:t>
      </w:r>
      <w:r w:rsidR="00DD73AC" w:rsidRPr="00DD73AC">
        <w:rPr>
          <w:rFonts w:ascii="Arial" w:hAnsi="Arial" w:cs="Arial"/>
          <w:sz w:val="22"/>
          <w:szCs w:val="22"/>
          <w:lang w:val="en-US"/>
        </w:rPr>
        <w:t>ical support, and coverage to remote or hard-to-reach areas</w:t>
      </w:r>
      <w:r w:rsidR="00212172"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2" w14:textId="06BB66B6" w:rsidR="00D564EA" w:rsidRPr="00DD73AC" w:rsidRDefault="00212172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III - </w:t>
      </w:r>
      <w:r w:rsidR="00DD73AC">
        <w:rPr>
          <w:rFonts w:ascii="Arial" w:hAnsi="Arial" w:cs="Arial"/>
          <w:sz w:val="22"/>
          <w:szCs w:val="22"/>
          <w:lang w:val="en-US"/>
        </w:rPr>
        <w:t>forms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of attracting and retaining health professionals, especially in remote areas, with a focus on broad and perennial coverage of public health policies</w:t>
      </w:r>
      <w:r w:rsid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3" w14:textId="21BC8095" w:rsidR="00F75923" w:rsidRPr="00DD73AC" w:rsidRDefault="00D564EA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>I</w:t>
      </w:r>
      <w:r w:rsidR="00212172" w:rsidRPr="00DD73AC">
        <w:rPr>
          <w:rFonts w:ascii="Arial" w:hAnsi="Arial" w:cs="Arial"/>
          <w:sz w:val="22"/>
          <w:szCs w:val="22"/>
          <w:lang w:val="en-US"/>
        </w:rPr>
        <w:t>V</w:t>
      </w:r>
      <w:r w:rsidR="00AE192B" w:rsidRPr="00DD73AC">
        <w:rPr>
          <w:rFonts w:ascii="Arial" w:hAnsi="Arial" w:cs="Arial"/>
          <w:sz w:val="22"/>
          <w:szCs w:val="22"/>
          <w:lang w:val="en-US"/>
        </w:rPr>
        <w:t>-</w:t>
      </w:r>
      <w:r w:rsidR="00983496"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project financing and 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onlending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instruments involving the Union, States, and Municipalities</w:t>
      </w:r>
      <w:r w:rsidR="00761B7B"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4" w14:textId="487618CD" w:rsidR="00D564EA" w:rsidRPr="00DD73AC" w:rsidRDefault="00761B7B" w:rsidP="00DD73AC">
      <w:pPr>
        <w:pStyle w:val="NormalWeb"/>
        <w:ind w:firstLine="709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V </w:t>
      </w:r>
      <w:r w:rsidR="00DD73AC">
        <w:rPr>
          <w:rFonts w:ascii="Arial" w:hAnsi="Arial" w:cs="Arial"/>
          <w:sz w:val="22"/>
          <w:szCs w:val="22"/>
          <w:lang w:val="en-US"/>
        </w:rPr>
        <w:t>–</w:t>
      </w:r>
      <w:r w:rsidR="00983496"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>
        <w:rPr>
          <w:rFonts w:ascii="Arial" w:hAnsi="Arial" w:cs="Arial"/>
          <w:sz w:val="22"/>
          <w:szCs w:val="22"/>
          <w:lang w:val="en-US"/>
        </w:rPr>
        <w:t>improvements in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the integration and publication of health-related data in the Legal Amazon; and</w:t>
      </w:r>
    </w:p>
    <w:p w14:paraId="63BFB215" w14:textId="05266788" w:rsidR="009F7297" w:rsidRPr="00DD73AC" w:rsidRDefault="009F7297" w:rsidP="00DD73AC">
      <w:pPr>
        <w:pStyle w:val="NormalWeb"/>
        <w:ind w:right="-143"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>V</w:t>
      </w:r>
      <w:r w:rsidR="001B4D4D" w:rsidRPr="00DD73AC">
        <w:rPr>
          <w:rFonts w:ascii="Arial" w:hAnsi="Arial" w:cs="Arial"/>
          <w:sz w:val="22"/>
          <w:szCs w:val="22"/>
          <w:lang w:val="en-US"/>
        </w:rPr>
        <w:t>I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893004" w:rsidRPr="00DD73AC">
        <w:rPr>
          <w:rFonts w:ascii="Arial" w:hAnsi="Arial" w:cs="Arial"/>
          <w:sz w:val="22"/>
          <w:szCs w:val="22"/>
          <w:lang w:val="en-US"/>
        </w:rPr>
        <w:t>-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adaptation</w:t>
      </w:r>
      <w:r w:rsidR="00DD73AC" w:rsidRPr="00DD73AC">
        <w:rPr>
          <w:rFonts w:ascii="Arial" w:hAnsi="Arial" w:cs="Arial"/>
          <w:sz w:val="22"/>
          <w:szCs w:val="22"/>
          <w:lang w:val="en-US"/>
        </w:rPr>
        <w:tab/>
        <w:t>of</w:t>
      </w:r>
      <w:r w:rsidR="00DD73AC" w:rsidRPr="00DD73AC">
        <w:rPr>
          <w:rFonts w:ascii="Arial" w:hAnsi="Arial" w:cs="Arial"/>
          <w:sz w:val="22"/>
          <w:szCs w:val="22"/>
          <w:lang w:val="en-US"/>
        </w:rPr>
        <w:tab/>
        <w:t>nutritional</w:t>
      </w:r>
      <w:r w:rsidR="00DD73AC" w:rsidRPr="00DD73AC">
        <w:rPr>
          <w:rFonts w:ascii="Arial" w:hAnsi="Arial" w:cs="Arial"/>
          <w:sz w:val="22"/>
          <w:szCs w:val="22"/>
          <w:lang w:val="en-US"/>
        </w:rPr>
        <w:tab/>
        <w:t>surveillance</w:t>
      </w:r>
      <w:r w:rsidR="00DD73AC" w:rsidRPr="00DD73AC">
        <w:rPr>
          <w:rFonts w:ascii="Arial" w:hAnsi="Arial" w:cs="Arial"/>
          <w:sz w:val="22"/>
          <w:szCs w:val="22"/>
          <w:lang w:val="en-US"/>
        </w:rPr>
        <w:tab/>
        <w:t>and</w:t>
      </w:r>
      <w:r w:rsidR="00DD73AC" w:rsidRPr="00DD73AC">
        <w:rPr>
          <w:rFonts w:ascii="Arial" w:hAnsi="Arial" w:cs="Arial"/>
          <w:sz w:val="22"/>
          <w:szCs w:val="22"/>
          <w:lang w:val="en-US"/>
        </w:rPr>
        <w:tab/>
        <w:t>food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orientation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to</w:t>
      </w:r>
      <w:r w:rsid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the particularities of the population in the Legal Amazon</w:t>
      </w:r>
      <w:r w:rsidR="00E34946" w:rsidRPr="00DD73AC">
        <w:rPr>
          <w:rFonts w:ascii="Arial" w:hAnsi="Arial" w:cs="Arial"/>
          <w:sz w:val="22"/>
          <w:szCs w:val="22"/>
          <w:lang w:val="en-US"/>
        </w:rPr>
        <w:t>.</w:t>
      </w:r>
    </w:p>
    <w:p w14:paraId="63BFB216" w14:textId="2B6245A7" w:rsidR="00F158E7" w:rsidRPr="00DD73AC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lastRenderedPageBreak/>
        <w:t xml:space="preserve">Art. </w:t>
      </w:r>
      <w:r w:rsidR="005D7933" w:rsidRPr="00DD73AC">
        <w:rPr>
          <w:rFonts w:ascii="Arial" w:hAnsi="Arial" w:cs="Arial"/>
          <w:sz w:val="22"/>
          <w:szCs w:val="22"/>
          <w:lang w:val="en-US"/>
        </w:rPr>
        <w:t>4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° </w:t>
      </w:r>
      <w:bookmarkStart w:id="1" w:name="_Hlk109080577"/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For the execution of its objectives, the 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may propose concrete actions to be made possible by public power, as well as suggest normative adjustments necessary to the improvement of public health policies for the Legal Amazon region</w:t>
      </w:r>
      <w:r w:rsidR="00E57ACB" w:rsidRPr="00DD73AC">
        <w:rPr>
          <w:rFonts w:ascii="Arial" w:hAnsi="Arial" w:cs="Arial"/>
          <w:sz w:val="22"/>
          <w:szCs w:val="22"/>
          <w:lang w:val="en-US"/>
        </w:rPr>
        <w:t>.</w:t>
      </w:r>
      <w:bookmarkEnd w:id="1"/>
    </w:p>
    <w:p w14:paraId="63BFB217" w14:textId="7967D2E2" w:rsidR="00BA2D83" w:rsidRPr="00DD73AC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Art. </w:t>
      </w:r>
      <w:r w:rsidR="005D7933" w:rsidRPr="00DD73AC">
        <w:rPr>
          <w:rFonts w:ascii="Arial" w:hAnsi="Arial" w:cs="Arial"/>
          <w:sz w:val="22"/>
          <w:szCs w:val="22"/>
          <w:lang w:val="en-US"/>
        </w:rPr>
        <w:t>5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º 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is composed of representatives, main and substitute, from the following agencies and entities</w:t>
      </w:r>
      <w:r w:rsidR="00874894" w:rsidRPr="00DD73AC">
        <w:rPr>
          <w:rFonts w:ascii="Arial" w:hAnsi="Arial" w:cs="Arial"/>
          <w:sz w:val="22"/>
          <w:szCs w:val="22"/>
          <w:lang w:val="en-US"/>
        </w:rPr>
        <w:t>:</w:t>
      </w:r>
    </w:p>
    <w:p w14:paraId="63BFB218" w14:textId="3B31CEE9" w:rsidR="009D7526" w:rsidRPr="00DD73AC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 -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a representative of the Civil House of the Presidency of the Republic, who will chair it</w:t>
      </w:r>
      <w:r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9" w14:textId="779ED8D2" w:rsidR="009D7526" w:rsidRPr="00DD73AC" w:rsidRDefault="009D7526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II -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three representatives from the Ministry of Health</w:t>
      </w:r>
      <w:r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A" w14:textId="0878D11C" w:rsidR="00187A4D" w:rsidRPr="00DD73AC" w:rsidRDefault="00187A4D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III </w:t>
      </w:r>
      <w:r w:rsidR="00F158E7" w:rsidRPr="00DD73AC">
        <w:rPr>
          <w:rFonts w:ascii="Arial" w:hAnsi="Arial" w:cs="Arial"/>
          <w:sz w:val="22"/>
          <w:szCs w:val="22"/>
          <w:lang w:val="en-US"/>
        </w:rPr>
        <w:t>-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one representative from the Ministry of Citizenship</w:t>
      </w:r>
      <w:r w:rsidR="00CC51D7"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B" w14:textId="4BCCBB56" w:rsidR="00CC51D7" w:rsidRPr="00DD73AC" w:rsidRDefault="00CC51D7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IV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–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one representative of the Ministry of Communications</w:t>
      </w:r>
      <w:r w:rsidR="00F51452"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C" w14:textId="635A3DBC" w:rsidR="00093F0B" w:rsidRPr="00DD73AC" w:rsidRDefault="00093F0B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V </w:t>
      </w:r>
      <w:r w:rsidR="00F158E7" w:rsidRPr="00DD73AC">
        <w:rPr>
          <w:rFonts w:ascii="Arial" w:hAnsi="Arial" w:cs="Arial"/>
          <w:sz w:val="22"/>
          <w:szCs w:val="22"/>
          <w:lang w:val="en-US"/>
        </w:rPr>
        <w:t>-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one representative from the Ministry of Women, Family and Human Rights</w:t>
      </w:r>
      <w:r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D" w14:textId="33C85759" w:rsidR="00E349BA" w:rsidRPr="00DD73AC" w:rsidRDefault="00E349BA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VI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–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one representative of the Ministry of Economy</w:t>
      </w:r>
      <w:r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E" w14:textId="49D9FA46" w:rsidR="00E349BA" w:rsidRPr="00DD73AC" w:rsidRDefault="00E349BA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 xml:space="preserve">VII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–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one representative of the Ministry of the Environment</w:t>
      </w:r>
      <w:r w:rsidR="0041041C"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1F" w14:textId="4388FF2B" w:rsidR="00717349" w:rsidRPr="00DD73AC" w:rsidRDefault="00717349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>V</w:t>
      </w:r>
      <w:r w:rsidR="0041041C" w:rsidRPr="00DD73AC">
        <w:rPr>
          <w:rFonts w:ascii="Arial" w:hAnsi="Arial" w:cs="Arial"/>
          <w:sz w:val="22"/>
          <w:szCs w:val="22"/>
          <w:lang w:val="en-US"/>
        </w:rPr>
        <w:t>III</w:t>
      </w:r>
      <w:r w:rsidR="00DD73AC" w:rsidRPr="00DD73AC">
        <w:rPr>
          <w:rFonts w:ascii="Arial" w:hAnsi="Arial" w:cs="Arial"/>
          <w:sz w:val="22"/>
          <w:szCs w:val="22"/>
          <w:lang w:val="en-US"/>
        </w:rPr>
        <w:t xml:space="preserve"> -</w:t>
      </w:r>
      <w:r w:rsidR="00983496"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one representative from the National Indian Foundation - FUNAI</w:t>
      </w:r>
      <w:r w:rsidRPr="00DD73AC">
        <w:rPr>
          <w:rFonts w:ascii="Arial" w:hAnsi="Arial" w:cs="Arial"/>
          <w:sz w:val="22"/>
          <w:szCs w:val="22"/>
          <w:lang w:val="en-US"/>
        </w:rPr>
        <w:t>;</w:t>
      </w:r>
    </w:p>
    <w:p w14:paraId="63BFB220" w14:textId="0FC7CD02" w:rsidR="009D7526" w:rsidRPr="00DD73AC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DD73AC">
        <w:rPr>
          <w:rFonts w:ascii="Arial" w:hAnsi="Arial" w:cs="Arial"/>
          <w:sz w:val="22"/>
          <w:szCs w:val="22"/>
          <w:lang w:val="en-US"/>
        </w:rPr>
        <w:t>I</w:t>
      </w:r>
      <w:r w:rsidR="0041041C" w:rsidRPr="00DD73AC">
        <w:rPr>
          <w:rFonts w:ascii="Arial" w:hAnsi="Arial" w:cs="Arial"/>
          <w:sz w:val="22"/>
          <w:szCs w:val="22"/>
          <w:lang w:val="en-US"/>
        </w:rPr>
        <w:t>X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–</w:t>
      </w:r>
      <w:r w:rsidRPr="00DD73AC">
        <w:rPr>
          <w:rFonts w:ascii="Arial" w:hAnsi="Arial" w:cs="Arial"/>
          <w:sz w:val="22"/>
          <w:szCs w:val="22"/>
          <w:lang w:val="en-US"/>
        </w:rPr>
        <w:t xml:space="preserve"> </w:t>
      </w:r>
      <w:r w:rsidR="00DD73AC" w:rsidRPr="00DD73AC">
        <w:rPr>
          <w:rFonts w:ascii="Arial" w:hAnsi="Arial" w:cs="Arial"/>
          <w:sz w:val="22"/>
          <w:szCs w:val="22"/>
          <w:lang w:val="en-US"/>
        </w:rPr>
        <w:t>one representative from the Oswaldo Cruz Foundation (</w:t>
      </w:r>
      <w:proofErr w:type="spellStart"/>
      <w:r w:rsidR="00DD73AC" w:rsidRPr="00DD73AC">
        <w:rPr>
          <w:rFonts w:ascii="Arial" w:hAnsi="Arial" w:cs="Arial"/>
          <w:sz w:val="22"/>
          <w:szCs w:val="22"/>
          <w:lang w:val="en-US"/>
        </w:rPr>
        <w:t>Fiocruz</w:t>
      </w:r>
      <w:proofErr w:type="spellEnd"/>
      <w:r w:rsidR="00DD73AC" w:rsidRPr="00DD73AC">
        <w:rPr>
          <w:rFonts w:ascii="Arial" w:hAnsi="Arial" w:cs="Arial"/>
          <w:sz w:val="22"/>
          <w:szCs w:val="22"/>
          <w:lang w:val="en-US"/>
        </w:rPr>
        <w:t>);</w:t>
      </w:r>
    </w:p>
    <w:p w14:paraId="63BFB221" w14:textId="297216D8" w:rsidR="0041041C" w:rsidRPr="00746DE7" w:rsidRDefault="0041041C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>X</w:t>
      </w:r>
      <w:r w:rsidR="009D7526" w:rsidRPr="00746DE7">
        <w:rPr>
          <w:rFonts w:ascii="Arial" w:hAnsi="Arial" w:cs="Arial"/>
          <w:sz w:val="22"/>
          <w:szCs w:val="22"/>
          <w:lang w:val="en-US"/>
        </w:rPr>
        <w:t xml:space="preserve">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–</w:t>
      </w:r>
      <w:r w:rsidR="009D7526" w:rsidRPr="00746DE7">
        <w:rPr>
          <w:rFonts w:ascii="Arial" w:hAnsi="Arial" w:cs="Arial"/>
          <w:sz w:val="22"/>
          <w:szCs w:val="22"/>
          <w:lang w:val="en-US"/>
        </w:rPr>
        <w:t xml:space="preserve">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one representative of the Federal Council of Medicine (CFM); and</w:t>
      </w:r>
    </w:p>
    <w:p w14:paraId="63BFB222" w14:textId="363DBDC0" w:rsidR="0077127C" w:rsidRPr="00746DE7" w:rsidRDefault="0077127C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>X</w:t>
      </w:r>
      <w:r w:rsidR="008626A2" w:rsidRPr="00746DE7">
        <w:rPr>
          <w:rFonts w:ascii="Arial" w:hAnsi="Arial" w:cs="Arial"/>
          <w:sz w:val="22"/>
          <w:szCs w:val="22"/>
          <w:lang w:val="en-US"/>
        </w:rPr>
        <w:t>I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 -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one representative of the National Health Council.</w:t>
      </w:r>
    </w:p>
    <w:p w14:paraId="63BFB223" w14:textId="79E60EE8" w:rsidR="0041041C" w:rsidRPr="00746DE7" w:rsidRDefault="004A4B8F" w:rsidP="00746DE7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§ 1º </w:t>
      </w:r>
      <w:proofErr w:type="gramStart"/>
      <w:r w:rsidR="00746DE7" w:rsidRPr="00746DE7">
        <w:rPr>
          <w:rFonts w:ascii="Arial" w:hAnsi="Arial" w:cs="Arial"/>
          <w:sz w:val="22"/>
          <w:szCs w:val="22"/>
          <w:lang w:val="en-US"/>
        </w:rPr>
        <w:t>The</w:t>
      </w:r>
      <w:proofErr w:type="gram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following will be invited to compose 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746DE7">
        <w:rPr>
          <w:rFonts w:ascii="Arial" w:hAnsi="Arial" w:cs="Arial"/>
          <w:sz w:val="22"/>
          <w:szCs w:val="22"/>
          <w:lang w:val="en-US"/>
        </w:rPr>
        <w:t>:</w:t>
      </w:r>
    </w:p>
    <w:p w14:paraId="63BFB224" w14:textId="62450308" w:rsidR="009D7526" w:rsidRPr="00746DE7" w:rsidRDefault="003F03E9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>I</w:t>
      </w:r>
      <w:r w:rsidR="009D7526" w:rsidRPr="00746DE7">
        <w:rPr>
          <w:rFonts w:ascii="Arial" w:hAnsi="Arial" w:cs="Arial"/>
          <w:sz w:val="22"/>
          <w:szCs w:val="22"/>
          <w:lang w:val="en-US"/>
        </w:rPr>
        <w:t xml:space="preserve"> -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three representatives of the State Governments that make up the Legal Amazon, after hearing the Interstate Consortium of the Legal Amazon and the National Council of Health Secretaries (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Conass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>);</w:t>
      </w:r>
    </w:p>
    <w:p w14:paraId="63BFB225" w14:textId="08C5EFC1" w:rsidR="009D7526" w:rsidRPr="00746DE7" w:rsidRDefault="003F03E9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>I</w:t>
      </w:r>
      <w:r w:rsidR="009D7526" w:rsidRPr="00746DE7">
        <w:rPr>
          <w:rFonts w:ascii="Arial" w:hAnsi="Arial" w:cs="Arial"/>
          <w:sz w:val="22"/>
          <w:szCs w:val="22"/>
          <w:lang w:val="en-US"/>
        </w:rPr>
        <w:t xml:space="preserve">I -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three representatives of Municipal Governments that comprise the Legal Amazon, after hearing the entity National Front of Mayors (FNP) and the National Council of Municipal Health Secretaries (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Conasems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>); and</w:t>
      </w:r>
    </w:p>
    <w:p w14:paraId="63BFB226" w14:textId="7BAA4382" w:rsidR="009D7526" w:rsidRPr="00746DE7" w:rsidRDefault="00A7351A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>II</w:t>
      </w:r>
      <w:r w:rsidR="009D7526" w:rsidRPr="00746DE7">
        <w:rPr>
          <w:rFonts w:ascii="Arial" w:hAnsi="Arial" w:cs="Arial"/>
          <w:sz w:val="22"/>
          <w:szCs w:val="22"/>
          <w:lang w:val="en-US"/>
        </w:rPr>
        <w:t xml:space="preserve">I - 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three representatives of the Civil Society, focused on the development of projects that dialogue with the scope of 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GTSAm's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objective, indicated by the Ministry of Health.</w:t>
      </w:r>
    </w:p>
    <w:p w14:paraId="63BFB227" w14:textId="1A3A9464" w:rsidR="00297779" w:rsidRPr="00746DE7" w:rsidRDefault="003757EE" w:rsidP="0026070C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§ </w:t>
      </w:r>
      <w:r w:rsidR="009B3B48" w:rsidRPr="00746DE7">
        <w:rPr>
          <w:rFonts w:ascii="Arial" w:hAnsi="Arial" w:cs="Arial"/>
          <w:sz w:val="22"/>
          <w:szCs w:val="22"/>
          <w:lang w:val="en-US"/>
        </w:rPr>
        <w:t>2</w:t>
      </w:r>
      <w:r w:rsidRPr="00746DE7">
        <w:rPr>
          <w:rFonts w:ascii="Arial" w:hAnsi="Arial" w:cs="Arial"/>
          <w:sz w:val="22"/>
          <w:szCs w:val="22"/>
          <w:lang w:val="en-US"/>
        </w:rPr>
        <w:t>º</w:t>
      </w:r>
      <w:r w:rsidR="00983496" w:rsidRPr="00746DE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746DE7" w:rsidRPr="00746DE7">
        <w:rPr>
          <w:rFonts w:ascii="Arial" w:hAnsi="Arial" w:cs="Arial"/>
          <w:sz w:val="22"/>
          <w:szCs w:val="22"/>
          <w:lang w:val="en-US"/>
        </w:rPr>
        <w:t>For</w:t>
      </w:r>
      <w:proofErr w:type="gram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the execution of its objectives, 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may invite specialists, researchers and representatives of other organs and public or private entities</w:t>
      </w:r>
      <w:r w:rsidR="00C60D1C"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28" w14:textId="7227B8F0" w:rsidR="003757EE" w:rsidRPr="00746DE7" w:rsidRDefault="003757EE" w:rsidP="0026070C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§ </w:t>
      </w:r>
      <w:r w:rsidR="009B3B48" w:rsidRPr="00746DE7">
        <w:rPr>
          <w:rFonts w:ascii="Arial" w:hAnsi="Arial" w:cs="Arial"/>
          <w:sz w:val="22"/>
          <w:szCs w:val="22"/>
          <w:lang w:val="en-US"/>
        </w:rPr>
        <w:t>3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º </w:t>
      </w:r>
      <w:proofErr w:type="gramStart"/>
      <w:r w:rsidR="00746DE7" w:rsidRPr="00746DE7">
        <w:rPr>
          <w:rFonts w:ascii="Arial" w:hAnsi="Arial" w:cs="Arial"/>
          <w:sz w:val="22"/>
          <w:szCs w:val="22"/>
          <w:lang w:val="en-US"/>
        </w:rPr>
        <w:t>The</w:t>
      </w:r>
      <w:proofErr w:type="gram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representatives referred to in the </w:t>
      </w:r>
      <w:r w:rsidR="00746DE7">
        <w:rPr>
          <w:rFonts w:ascii="Arial" w:hAnsi="Arial" w:cs="Arial"/>
          <w:b/>
          <w:sz w:val="22"/>
          <w:szCs w:val="22"/>
          <w:lang w:val="en-US"/>
        </w:rPr>
        <w:t>caput</w:t>
      </w:r>
      <w:r w:rsidR="00746DE7" w:rsidRPr="00746DE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and § 1 of this article will be appointed within 10 (ten) days of the publication of this Decree to the Civil House of the Presidency of the Republic</w:t>
      </w:r>
      <w:r w:rsidR="0022320D"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29" w14:textId="03BA2CF6" w:rsidR="009D7526" w:rsidRPr="00746DE7" w:rsidRDefault="00FB2419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lastRenderedPageBreak/>
        <w:t xml:space="preserve">Art. </w:t>
      </w:r>
      <w:r w:rsidR="005D7933" w:rsidRPr="00746DE7">
        <w:rPr>
          <w:rFonts w:ascii="Arial" w:hAnsi="Arial" w:cs="Arial"/>
          <w:sz w:val="22"/>
          <w:szCs w:val="22"/>
          <w:lang w:val="en-US"/>
        </w:rPr>
        <w:t>6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º 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will meet, ordinarily, weekly, and, extraordinarily, when </w:t>
      </w:r>
      <w:r w:rsidR="00746DE7">
        <w:rPr>
          <w:rFonts w:ascii="Arial" w:hAnsi="Arial" w:cs="Arial"/>
          <w:sz w:val="22"/>
          <w:szCs w:val="22"/>
          <w:lang w:val="en-US"/>
        </w:rPr>
        <w:t xml:space="preserve">so 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called by its </w:t>
      </w:r>
      <w:r w:rsidR="00746DE7">
        <w:rPr>
          <w:rFonts w:ascii="Arial" w:hAnsi="Arial" w:cs="Arial"/>
          <w:sz w:val="22"/>
          <w:szCs w:val="22"/>
          <w:lang w:val="en-US"/>
        </w:rPr>
        <w:t>Chair</w:t>
      </w:r>
      <w:r w:rsidR="009D7526"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2A" w14:textId="1FC6141B" w:rsidR="009D7526" w:rsidRPr="00746DE7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§1º </w:t>
      </w:r>
      <w:proofErr w:type="gramStart"/>
      <w:r w:rsidR="00746DE7" w:rsidRPr="00746DE7">
        <w:rPr>
          <w:rFonts w:ascii="Arial" w:hAnsi="Arial" w:cs="Arial"/>
          <w:sz w:val="22"/>
          <w:szCs w:val="22"/>
          <w:lang w:val="en-US"/>
        </w:rPr>
        <w:t>The</w:t>
      </w:r>
      <w:proofErr w:type="gram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meetings may be held either in person or via videoconference</w:t>
      </w:r>
      <w:r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2B" w14:textId="35DD6155" w:rsidR="009D7526" w:rsidRPr="00746DE7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§ 2º 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</w:t>
      </w:r>
      <w:r w:rsidR="00746DE7">
        <w:rPr>
          <w:rFonts w:ascii="Arial" w:hAnsi="Arial" w:cs="Arial"/>
          <w:sz w:val="22"/>
          <w:szCs w:val="22"/>
          <w:lang w:val="en-US"/>
        </w:rPr>
        <w:t>shall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define, in its first meeting, the</w:t>
      </w:r>
      <w:r w:rsidR="00746DE7">
        <w:rPr>
          <w:rFonts w:ascii="Arial" w:hAnsi="Arial" w:cs="Arial"/>
          <w:sz w:val="22"/>
          <w:szCs w:val="22"/>
          <w:lang w:val="en-US"/>
        </w:rPr>
        <w:t xml:space="preserve"> group’s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work plan, technical support and reporting subgroups, </w:t>
      </w:r>
      <w:r w:rsidR="00746DE7">
        <w:rPr>
          <w:rFonts w:ascii="Arial" w:hAnsi="Arial" w:cs="Arial"/>
          <w:sz w:val="22"/>
          <w:szCs w:val="22"/>
          <w:lang w:val="en-US"/>
        </w:rPr>
        <w:t>as well as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</w:t>
      </w:r>
      <w:r w:rsidR="00746DE7">
        <w:rPr>
          <w:rFonts w:ascii="Arial" w:hAnsi="Arial" w:cs="Arial"/>
          <w:sz w:val="22"/>
          <w:szCs w:val="22"/>
          <w:lang w:val="en-US"/>
        </w:rPr>
        <w:t>its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form of deliberation</w:t>
      </w:r>
      <w:r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2C" w14:textId="56C19FB5" w:rsidR="00021211" w:rsidRPr="00746DE7" w:rsidRDefault="00021211" w:rsidP="00021211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bookmarkStart w:id="2" w:name="_Hlk109080717"/>
      <w:r w:rsidRPr="00746DE7">
        <w:rPr>
          <w:rFonts w:ascii="Arial" w:hAnsi="Arial" w:cs="Arial"/>
          <w:sz w:val="22"/>
          <w:szCs w:val="22"/>
          <w:lang w:val="en-US"/>
        </w:rPr>
        <w:t xml:space="preserve">§ 3º </w:t>
      </w:r>
      <w:bookmarkEnd w:id="2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may determine the installation of technical support subgroups, with the purpose of providing the necessary technical subsidies for the execution of the activities conferred to it</w:t>
      </w:r>
      <w:r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2D" w14:textId="5A920681" w:rsidR="00021211" w:rsidRPr="00746DE7" w:rsidRDefault="00021211" w:rsidP="00021211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§ 4º </w:t>
      </w:r>
      <w:proofErr w:type="gramStart"/>
      <w:r w:rsidR="00746DE7" w:rsidRPr="00746DE7">
        <w:rPr>
          <w:rFonts w:ascii="Arial" w:hAnsi="Arial" w:cs="Arial"/>
          <w:sz w:val="22"/>
          <w:szCs w:val="22"/>
          <w:lang w:val="en-US"/>
        </w:rPr>
        <w:t>The</w:t>
      </w:r>
      <w:proofErr w:type="gram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administrative support and </w:t>
      </w:r>
      <w:r w:rsidR="00746DE7">
        <w:rPr>
          <w:rFonts w:ascii="Arial" w:hAnsi="Arial" w:cs="Arial"/>
          <w:sz w:val="22"/>
          <w:szCs w:val="22"/>
          <w:lang w:val="en-US"/>
        </w:rPr>
        <w:t xml:space="preserve">the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means necessary for the execution of the work will be provided by the Civil House of the Presidency of the Republic.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3BFB22E" w14:textId="65E61035" w:rsidR="009D7526" w:rsidRPr="00746DE7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Art. </w:t>
      </w:r>
      <w:r w:rsidR="005D7933" w:rsidRPr="00746DE7">
        <w:rPr>
          <w:rFonts w:ascii="Arial" w:hAnsi="Arial" w:cs="Arial"/>
          <w:sz w:val="22"/>
          <w:szCs w:val="22"/>
          <w:lang w:val="en-US"/>
        </w:rPr>
        <w:t>7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° </w:t>
      </w:r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The participation in 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GTSAm's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activities is considered a relevant public service and does not imply remuneration</w:t>
      </w:r>
      <w:r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2F" w14:textId="22285394" w:rsidR="00422988" w:rsidRPr="00746DE7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Art. </w:t>
      </w:r>
      <w:r w:rsidR="009B5B57" w:rsidRPr="00746DE7">
        <w:rPr>
          <w:rFonts w:ascii="Arial" w:hAnsi="Arial" w:cs="Arial"/>
          <w:sz w:val="22"/>
          <w:szCs w:val="22"/>
          <w:lang w:val="en-US"/>
        </w:rPr>
        <w:t>8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° </w:t>
      </w:r>
      <w:bookmarkStart w:id="3" w:name="_Hlk109080496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746DE7" w:rsidRPr="00746DE7">
        <w:rPr>
          <w:rFonts w:ascii="Arial" w:hAnsi="Arial" w:cs="Arial"/>
          <w:sz w:val="22"/>
          <w:szCs w:val="22"/>
          <w:lang w:val="en-US"/>
        </w:rPr>
        <w:t>GTSAm</w:t>
      </w:r>
      <w:proofErr w:type="spellEnd"/>
      <w:r w:rsidR="00746DE7" w:rsidRPr="00746DE7">
        <w:rPr>
          <w:rFonts w:ascii="Arial" w:hAnsi="Arial" w:cs="Arial"/>
          <w:sz w:val="22"/>
          <w:szCs w:val="22"/>
          <w:lang w:val="en-US"/>
        </w:rPr>
        <w:t xml:space="preserve"> will have up to ninety (90) days, as of the date of its first meeting, to prepare a conclusive report on the measures mentioned in art. </w:t>
      </w:r>
      <w:r w:rsidR="00D564EA" w:rsidRPr="00746DE7">
        <w:rPr>
          <w:rFonts w:ascii="Arial" w:hAnsi="Arial" w:cs="Arial"/>
          <w:sz w:val="22"/>
          <w:szCs w:val="22"/>
          <w:lang w:val="en-US"/>
        </w:rPr>
        <w:t>3</w:t>
      </w:r>
      <w:r w:rsidR="00380E1B" w:rsidRPr="00746DE7">
        <w:rPr>
          <w:rFonts w:ascii="Arial" w:hAnsi="Arial" w:cs="Arial"/>
          <w:sz w:val="22"/>
          <w:szCs w:val="22"/>
          <w:lang w:val="en-US"/>
        </w:rPr>
        <w:t>º</w:t>
      </w:r>
      <w:r w:rsidRPr="00746DE7">
        <w:rPr>
          <w:rFonts w:ascii="Arial" w:hAnsi="Arial" w:cs="Arial"/>
          <w:sz w:val="22"/>
          <w:szCs w:val="22"/>
          <w:lang w:val="en-US"/>
        </w:rPr>
        <w:t>.</w:t>
      </w:r>
      <w:bookmarkEnd w:id="3"/>
    </w:p>
    <w:p w14:paraId="63BFB230" w14:textId="78D6EC44" w:rsidR="009D7526" w:rsidRPr="00746DE7" w:rsidRDefault="00746DE7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Sole paragraph. The period referred to in the </w:t>
      </w:r>
      <w:r w:rsidRPr="00746DE7">
        <w:rPr>
          <w:rFonts w:ascii="Arial" w:hAnsi="Arial" w:cs="Arial"/>
          <w:b/>
          <w:sz w:val="22"/>
          <w:szCs w:val="22"/>
          <w:lang w:val="en-US"/>
        </w:rPr>
        <w:t xml:space="preserve">caput </w:t>
      </w:r>
      <w:r w:rsidRPr="00746DE7">
        <w:rPr>
          <w:rFonts w:ascii="Arial" w:hAnsi="Arial" w:cs="Arial"/>
          <w:sz w:val="22"/>
          <w:szCs w:val="22"/>
          <w:lang w:val="en-US"/>
        </w:rPr>
        <w:t>may be extended once, for an equal period, by act of the Minister of State, Head of the Civil House of the Presidency of the Republic</w:t>
      </w:r>
      <w:r w:rsidR="009D7526"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31" w14:textId="7F7FEE84" w:rsidR="009D7526" w:rsidRPr="00746DE7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Art. </w:t>
      </w:r>
      <w:r w:rsidR="009B5B57" w:rsidRPr="00746DE7">
        <w:rPr>
          <w:rFonts w:ascii="Arial" w:hAnsi="Arial" w:cs="Arial"/>
          <w:sz w:val="22"/>
          <w:szCs w:val="22"/>
          <w:lang w:val="en-US"/>
        </w:rPr>
        <w:t>9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º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This Decree goes into effect on the date of its publication</w:t>
      </w:r>
      <w:r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32" w14:textId="77777777" w:rsidR="009D7526" w:rsidRPr="00746DE7" w:rsidRDefault="009D7526" w:rsidP="009D7526">
      <w:pPr>
        <w:pStyle w:val="NormalWeb"/>
        <w:jc w:val="both"/>
        <w:rPr>
          <w:rFonts w:ascii="Arial" w:hAnsi="Arial" w:cs="Arial"/>
          <w:sz w:val="22"/>
          <w:szCs w:val="22"/>
          <w:lang w:val="en-US"/>
        </w:rPr>
      </w:pPr>
    </w:p>
    <w:p w14:paraId="63BFB233" w14:textId="1999C54B" w:rsidR="009D7526" w:rsidRPr="00746DE7" w:rsidRDefault="009D7526" w:rsidP="009D7526">
      <w:pPr>
        <w:pStyle w:val="NormalWeb"/>
        <w:jc w:val="both"/>
        <w:rPr>
          <w:rFonts w:ascii="Arial" w:hAnsi="Arial" w:cs="Arial"/>
          <w:sz w:val="22"/>
          <w:szCs w:val="22"/>
          <w:lang w:val="en-US"/>
        </w:rPr>
      </w:pPr>
      <w:r w:rsidRPr="00746DE7">
        <w:rPr>
          <w:rFonts w:ascii="Arial" w:hAnsi="Arial" w:cs="Arial"/>
          <w:sz w:val="22"/>
          <w:szCs w:val="22"/>
          <w:lang w:val="en-US"/>
        </w:rPr>
        <w:t xml:space="preserve">Brasília, ....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of</w:t>
      </w:r>
      <w:r w:rsidRPr="00746DE7">
        <w:rPr>
          <w:rFonts w:ascii="Arial" w:hAnsi="Arial" w:cs="Arial"/>
          <w:sz w:val="22"/>
          <w:szCs w:val="22"/>
          <w:lang w:val="en-US"/>
        </w:rPr>
        <w:t xml:space="preserve"> ....... 2023; ......º </w:t>
      </w:r>
      <w:r w:rsidR="00746DE7" w:rsidRPr="00746DE7">
        <w:rPr>
          <w:rFonts w:ascii="Arial" w:hAnsi="Arial" w:cs="Arial"/>
          <w:sz w:val="22"/>
          <w:szCs w:val="22"/>
          <w:lang w:val="en-US"/>
        </w:rPr>
        <w:t>of Independence and</w:t>
      </w:r>
      <w:r w:rsidR="00746DE7">
        <w:rPr>
          <w:rFonts w:ascii="Arial" w:hAnsi="Arial" w:cs="Arial"/>
          <w:sz w:val="22"/>
          <w:szCs w:val="22"/>
          <w:lang w:val="en-US"/>
        </w:rPr>
        <w:t>……</w:t>
      </w:r>
      <w:r w:rsidR="00746DE7" w:rsidRPr="00746DE7">
        <w:rPr>
          <w:rFonts w:ascii="Arial" w:hAnsi="Arial" w:cs="Arial"/>
          <w:sz w:val="22"/>
          <w:szCs w:val="22"/>
          <w:lang w:val="en-US"/>
        </w:rPr>
        <w:t>of the Republic</w:t>
      </w:r>
      <w:r w:rsidRPr="00746DE7">
        <w:rPr>
          <w:rFonts w:ascii="Arial" w:hAnsi="Arial" w:cs="Arial"/>
          <w:sz w:val="22"/>
          <w:szCs w:val="22"/>
          <w:lang w:val="en-US"/>
        </w:rPr>
        <w:t>.</w:t>
      </w:r>
    </w:p>
    <w:p w14:paraId="63BFB234" w14:textId="77777777" w:rsidR="009D7526" w:rsidRPr="00746DE7" w:rsidRDefault="009D7526" w:rsidP="009D7526">
      <w:pPr>
        <w:pStyle w:val="NormalWeb"/>
        <w:jc w:val="both"/>
        <w:rPr>
          <w:rFonts w:ascii="Arial" w:hAnsi="Arial" w:cs="Arial"/>
          <w:sz w:val="22"/>
          <w:szCs w:val="22"/>
          <w:lang w:val="en-US"/>
        </w:rPr>
      </w:pPr>
    </w:p>
    <w:p w14:paraId="63BFB235" w14:textId="77777777" w:rsidR="007B44B5" w:rsidRPr="00746DE7" w:rsidRDefault="007B44B5" w:rsidP="007B44B5">
      <w:pPr>
        <w:pStyle w:val="NormalWeb"/>
        <w:jc w:val="both"/>
        <w:rPr>
          <w:rFonts w:ascii="Arial" w:hAnsi="Arial" w:cs="Arial"/>
          <w:sz w:val="22"/>
          <w:szCs w:val="22"/>
          <w:lang w:val="en-US"/>
        </w:rPr>
      </w:pPr>
    </w:p>
    <w:p w14:paraId="63BFB236" w14:textId="77777777" w:rsidR="00337AB6" w:rsidRPr="00746DE7" w:rsidRDefault="00337AB6">
      <w:pPr>
        <w:rPr>
          <w:lang w:val="en-US"/>
        </w:rPr>
      </w:pPr>
    </w:p>
    <w:sectPr w:rsidR="00337AB6" w:rsidRPr="00746DE7" w:rsidSect="00814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70300" w14:textId="77777777" w:rsidR="00100F3E" w:rsidRDefault="00100F3E" w:rsidP="00824CC2">
      <w:r>
        <w:separator/>
      </w:r>
    </w:p>
  </w:endnote>
  <w:endnote w:type="continuationSeparator" w:id="0">
    <w:p w14:paraId="46605F14" w14:textId="77777777" w:rsidR="00100F3E" w:rsidRDefault="00100F3E" w:rsidP="0082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6DDA3" w14:textId="77777777" w:rsidR="00100F3E" w:rsidRDefault="00100F3E" w:rsidP="00824CC2">
      <w:r>
        <w:separator/>
      </w:r>
    </w:p>
  </w:footnote>
  <w:footnote w:type="continuationSeparator" w:id="0">
    <w:p w14:paraId="456453C7" w14:textId="77777777" w:rsidR="00100F3E" w:rsidRDefault="00100F3E" w:rsidP="0082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2"/>
    <w:rsid w:val="00011CA6"/>
    <w:rsid w:val="00021211"/>
    <w:rsid w:val="00063093"/>
    <w:rsid w:val="00065741"/>
    <w:rsid w:val="000857FF"/>
    <w:rsid w:val="0008665B"/>
    <w:rsid w:val="00093F0B"/>
    <w:rsid w:val="00094B37"/>
    <w:rsid w:val="000A763A"/>
    <w:rsid w:val="000B4868"/>
    <w:rsid w:val="000B70C5"/>
    <w:rsid w:val="000C1370"/>
    <w:rsid w:val="000C38B3"/>
    <w:rsid w:val="000C402F"/>
    <w:rsid w:val="000D04C8"/>
    <w:rsid w:val="000E4187"/>
    <w:rsid w:val="000F7283"/>
    <w:rsid w:val="00100F3E"/>
    <w:rsid w:val="00132E17"/>
    <w:rsid w:val="00153AC0"/>
    <w:rsid w:val="00154764"/>
    <w:rsid w:val="00177767"/>
    <w:rsid w:val="00180A80"/>
    <w:rsid w:val="00186C12"/>
    <w:rsid w:val="00187A4D"/>
    <w:rsid w:val="001B4D4D"/>
    <w:rsid w:val="001D23D1"/>
    <w:rsid w:val="001F2266"/>
    <w:rsid w:val="0020510C"/>
    <w:rsid w:val="002067F5"/>
    <w:rsid w:val="00212172"/>
    <w:rsid w:val="00221F73"/>
    <w:rsid w:val="00222DE4"/>
    <w:rsid w:val="0022320D"/>
    <w:rsid w:val="00250E5D"/>
    <w:rsid w:val="0026070C"/>
    <w:rsid w:val="002622FA"/>
    <w:rsid w:val="00265AD4"/>
    <w:rsid w:val="002725FF"/>
    <w:rsid w:val="00276C64"/>
    <w:rsid w:val="00297779"/>
    <w:rsid w:val="002A3C7E"/>
    <w:rsid w:val="002A5388"/>
    <w:rsid w:val="002C4E78"/>
    <w:rsid w:val="002D01FF"/>
    <w:rsid w:val="002D2CEA"/>
    <w:rsid w:val="002D791E"/>
    <w:rsid w:val="002F15F6"/>
    <w:rsid w:val="002F3A7A"/>
    <w:rsid w:val="00337AB6"/>
    <w:rsid w:val="00350EDF"/>
    <w:rsid w:val="00353909"/>
    <w:rsid w:val="0036221F"/>
    <w:rsid w:val="00373820"/>
    <w:rsid w:val="003757EE"/>
    <w:rsid w:val="003766E1"/>
    <w:rsid w:val="00380E1B"/>
    <w:rsid w:val="003A5C6D"/>
    <w:rsid w:val="003C72FA"/>
    <w:rsid w:val="003D1DFE"/>
    <w:rsid w:val="003E3CEB"/>
    <w:rsid w:val="003E6D92"/>
    <w:rsid w:val="003F03E9"/>
    <w:rsid w:val="00403004"/>
    <w:rsid w:val="0041041C"/>
    <w:rsid w:val="00422988"/>
    <w:rsid w:val="00440DF5"/>
    <w:rsid w:val="00460DB5"/>
    <w:rsid w:val="0046525F"/>
    <w:rsid w:val="004659E8"/>
    <w:rsid w:val="00471018"/>
    <w:rsid w:val="00471D40"/>
    <w:rsid w:val="00480E0C"/>
    <w:rsid w:val="004847F2"/>
    <w:rsid w:val="00486FAA"/>
    <w:rsid w:val="004A4B8F"/>
    <w:rsid w:val="004C3ED4"/>
    <w:rsid w:val="004F3643"/>
    <w:rsid w:val="004F663D"/>
    <w:rsid w:val="00504D9B"/>
    <w:rsid w:val="005112AB"/>
    <w:rsid w:val="005241A5"/>
    <w:rsid w:val="0052518B"/>
    <w:rsid w:val="00546B01"/>
    <w:rsid w:val="00563C0F"/>
    <w:rsid w:val="005967F9"/>
    <w:rsid w:val="005D7933"/>
    <w:rsid w:val="00602CEC"/>
    <w:rsid w:val="006151E1"/>
    <w:rsid w:val="00615ADD"/>
    <w:rsid w:val="00620E00"/>
    <w:rsid w:val="00654ABC"/>
    <w:rsid w:val="00676161"/>
    <w:rsid w:val="006A77B0"/>
    <w:rsid w:val="006C1FF7"/>
    <w:rsid w:val="006C6F38"/>
    <w:rsid w:val="006C6F45"/>
    <w:rsid w:val="006D4679"/>
    <w:rsid w:val="006D571A"/>
    <w:rsid w:val="00715408"/>
    <w:rsid w:val="00717349"/>
    <w:rsid w:val="0072786E"/>
    <w:rsid w:val="00746DE7"/>
    <w:rsid w:val="007502A4"/>
    <w:rsid w:val="00761B7B"/>
    <w:rsid w:val="007649FF"/>
    <w:rsid w:val="0077127C"/>
    <w:rsid w:val="00781813"/>
    <w:rsid w:val="00793835"/>
    <w:rsid w:val="00795ED1"/>
    <w:rsid w:val="007A53E1"/>
    <w:rsid w:val="007B44B5"/>
    <w:rsid w:val="007C4BF3"/>
    <w:rsid w:val="007F48DB"/>
    <w:rsid w:val="008110D6"/>
    <w:rsid w:val="00814BBE"/>
    <w:rsid w:val="00822237"/>
    <w:rsid w:val="00823EF9"/>
    <w:rsid w:val="00824CC2"/>
    <w:rsid w:val="00826A05"/>
    <w:rsid w:val="00857C32"/>
    <w:rsid w:val="008626A2"/>
    <w:rsid w:val="00864AEC"/>
    <w:rsid w:val="00871A44"/>
    <w:rsid w:val="008723E3"/>
    <w:rsid w:val="00874894"/>
    <w:rsid w:val="00880340"/>
    <w:rsid w:val="00890BEE"/>
    <w:rsid w:val="00891C43"/>
    <w:rsid w:val="00893004"/>
    <w:rsid w:val="00897C91"/>
    <w:rsid w:val="008C1587"/>
    <w:rsid w:val="008D21B1"/>
    <w:rsid w:val="008E0BF7"/>
    <w:rsid w:val="00906C66"/>
    <w:rsid w:val="0091037C"/>
    <w:rsid w:val="00911873"/>
    <w:rsid w:val="00940777"/>
    <w:rsid w:val="0096534D"/>
    <w:rsid w:val="00983496"/>
    <w:rsid w:val="00984666"/>
    <w:rsid w:val="00997CEA"/>
    <w:rsid w:val="009B3B48"/>
    <w:rsid w:val="009B5B57"/>
    <w:rsid w:val="009C03A7"/>
    <w:rsid w:val="009C2ED9"/>
    <w:rsid w:val="009D7526"/>
    <w:rsid w:val="009F7297"/>
    <w:rsid w:val="00A23089"/>
    <w:rsid w:val="00A36A28"/>
    <w:rsid w:val="00A701D0"/>
    <w:rsid w:val="00A7351A"/>
    <w:rsid w:val="00A75287"/>
    <w:rsid w:val="00A77A33"/>
    <w:rsid w:val="00A82F3C"/>
    <w:rsid w:val="00A91255"/>
    <w:rsid w:val="00AA1B31"/>
    <w:rsid w:val="00AB0A69"/>
    <w:rsid w:val="00AE192B"/>
    <w:rsid w:val="00AE1E65"/>
    <w:rsid w:val="00AF3489"/>
    <w:rsid w:val="00B10F4B"/>
    <w:rsid w:val="00B46CF6"/>
    <w:rsid w:val="00B65CF6"/>
    <w:rsid w:val="00B8342A"/>
    <w:rsid w:val="00BA2D83"/>
    <w:rsid w:val="00BA456A"/>
    <w:rsid w:val="00BC56DD"/>
    <w:rsid w:val="00BC60C0"/>
    <w:rsid w:val="00C21B34"/>
    <w:rsid w:val="00C23670"/>
    <w:rsid w:val="00C50BC2"/>
    <w:rsid w:val="00C60D1C"/>
    <w:rsid w:val="00C878FB"/>
    <w:rsid w:val="00CB17B5"/>
    <w:rsid w:val="00CC51D7"/>
    <w:rsid w:val="00D53415"/>
    <w:rsid w:val="00D564EA"/>
    <w:rsid w:val="00D63CAF"/>
    <w:rsid w:val="00D818AD"/>
    <w:rsid w:val="00D91827"/>
    <w:rsid w:val="00DA3B49"/>
    <w:rsid w:val="00DA737A"/>
    <w:rsid w:val="00DB16A6"/>
    <w:rsid w:val="00DC3D0F"/>
    <w:rsid w:val="00DD73AC"/>
    <w:rsid w:val="00DE6C88"/>
    <w:rsid w:val="00DF4989"/>
    <w:rsid w:val="00E16DF7"/>
    <w:rsid w:val="00E1753A"/>
    <w:rsid w:val="00E22328"/>
    <w:rsid w:val="00E30001"/>
    <w:rsid w:val="00E31F13"/>
    <w:rsid w:val="00E34946"/>
    <w:rsid w:val="00E349BA"/>
    <w:rsid w:val="00E45342"/>
    <w:rsid w:val="00E4676B"/>
    <w:rsid w:val="00E57ACB"/>
    <w:rsid w:val="00E638AB"/>
    <w:rsid w:val="00E6403E"/>
    <w:rsid w:val="00E66B12"/>
    <w:rsid w:val="00E91F76"/>
    <w:rsid w:val="00F1128E"/>
    <w:rsid w:val="00F158E7"/>
    <w:rsid w:val="00F37A2C"/>
    <w:rsid w:val="00F51452"/>
    <w:rsid w:val="00F53277"/>
    <w:rsid w:val="00F632EA"/>
    <w:rsid w:val="00F750FB"/>
    <w:rsid w:val="00F75923"/>
    <w:rsid w:val="00F940C7"/>
    <w:rsid w:val="00FB119C"/>
    <w:rsid w:val="00FB2419"/>
    <w:rsid w:val="00FC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FB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DD73AC"/>
    <w:pPr>
      <w:widowControl w:val="0"/>
      <w:autoSpaceDE w:val="0"/>
      <w:autoSpaceDN w:val="0"/>
      <w:ind w:left="119"/>
      <w:jc w:val="center"/>
      <w:outlineLvl w:val="2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4B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7B44B5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B44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B44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B44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79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0E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0E5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2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4C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4C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34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49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73AC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73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73A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0216-A05A-4AE1-B09E-D493A3FF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C5692-1AE1-4571-996A-8A8CA3E9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AB8B3-D201-44AC-AAC5-AE9CCCB5CE2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a571ad75-13ba-4715-bdb4-30eef66d186a"/>
    <ds:schemaRef ds:uri="181285b1-9af4-4e77-8ea2-c88ebba3f8a9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E424E6-A0DA-4AD4-8CE8-A234552D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2022-10-06T12:42:00Z</dcterms:created>
  <dcterms:modified xsi:type="dcterms:W3CDTF">2022-10-25T20:06:00Z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0x0101007EA5C59C86BE86459DC1B8181FAC39AE</vt:lpwstr>
  </property>
  <property fmtid="{D5CDD505-2E9C-101B-9397-08002B2CF9AE}" pid="3" name="MediaServiceImageTags">
    <vt:lpwstr/>
  </property>
</Properties>
</file>